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7" w:type="dxa"/>
        <w:tblInd w:w="93" w:type="dxa"/>
        <w:tblLook w:val="04A0" w:firstRow="1" w:lastRow="0" w:firstColumn="1" w:lastColumn="0" w:noHBand="0" w:noVBand="1"/>
      </w:tblPr>
      <w:tblGrid>
        <w:gridCol w:w="14967"/>
      </w:tblGrid>
      <w:tr w:rsidR="00572FAF" w:rsidTr="00572FAF">
        <w:trPr>
          <w:trHeight w:val="348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FAF" w:rsidRDefault="00572F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ОТЧЕТ</w:t>
            </w:r>
          </w:p>
        </w:tc>
      </w:tr>
      <w:tr w:rsidR="00572FAF" w:rsidTr="00572FAF">
        <w:trPr>
          <w:trHeight w:val="348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FAF" w:rsidRDefault="00572F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реализации муниципальной программы</w:t>
            </w:r>
          </w:p>
        </w:tc>
      </w:tr>
      <w:tr w:rsidR="00572FAF" w:rsidTr="00572FAF">
        <w:trPr>
          <w:trHeight w:val="810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FAF" w:rsidRDefault="00572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культуры в </w:t>
            </w:r>
            <w:proofErr w:type="spellStart"/>
            <w:r>
              <w:rPr>
                <w:sz w:val="28"/>
                <w:szCs w:val="28"/>
              </w:rPr>
              <w:t>Бисертском</w:t>
            </w:r>
            <w:proofErr w:type="spellEnd"/>
            <w:r>
              <w:rPr>
                <w:sz w:val="28"/>
                <w:szCs w:val="28"/>
              </w:rPr>
              <w:t xml:space="preserve"> городском округе до 2024 года»</w:t>
            </w:r>
          </w:p>
        </w:tc>
      </w:tr>
      <w:tr w:rsidR="00572FAF" w:rsidTr="00572FAF">
        <w:trPr>
          <w:trHeight w:val="615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FAF" w:rsidRDefault="00572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1</w:t>
            </w:r>
            <w:bookmarkStart w:id="0" w:name="_GoBack"/>
            <w:bookmarkEnd w:id="0"/>
          </w:p>
        </w:tc>
      </w:tr>
      <w:tr w:rsidR="00572FAF" w:rsidTr="00572FAF">
        <w:trPr>
          <w:trHeight w:val="510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Достижение целевых показателей муниципальной программы за II квартал 2019  г. (отчётный период)</w:t>
            </w:r>
          </w:p>
        </w:tc>
      </w:tr>
    </w:tbl>
    <w:p w:rsidR="00A77266" w:rsidRDefault="00A77266" w:rsidP="00572FAF">
      <w:pPr>
        <w:spacing w:after="0" w:line="240" w:lineRule="auto"/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4125"/>
        <w:gridCol w:w="2166"/>
        <w:gridCol w:w="2053"/>
        <w:gridCol w:w="2090"/>
        <w:gridCol w:w="1717"/>
        <w:gridCol w:w="1892"/>
      </w:tblGrid>
      <w:tr w:rsidR="00572FAF" w:rsidTr="00572FAF">
        <w:tc>
          <w:tcPr>
            <w:tcW w:w="924" w:type="dxa"/>
            <w:vMerge w:val="restart"/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125" w:type="dxa"/>
            <w:vMerge w:val="restart"/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Цели, задачи и целевые показатели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143" w:type="dxa"/>
            <w:gridSpan w:val="2"/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717" w:type="dxa"/>
            <w:vMerge w:val="restart"/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Процент выполнения</w:t>
            </w:r>
          </w:p>
        </w:tc>
        <w:tc>
          <w:tcPr>
            <w:tcW w:w="1892" w:type="dxa"/>
            <w:vMerge w:val="restart"/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Причины отклонения от планового значения</w:t>
            </w:r>
          </w:p>
        </w:tc>
      </w:tr>
      <w:tr w:rsidR="00572FAF" w:rsidTr="00572FAF">
        <w:tc>
          <w:tcPr>
            <w:tcW w:w="924" w:type="dxa"/>
            <w:vMerge/>
            <w:vAlign w:val="center"/>
            <w:hideMark/>
          </w:tcPr>
          <w:p w:rsidR="00572FAF" w:rsidRDefault="00572F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5" w:type="dxa"/>
            <w:vMerge/>
            <w:vAlign w:val="center"/>
            <w:hideMark/>
          </w:tcPr>
          <w:p w:rsidR="00572FAF" w:rsidRDefault="00572F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572FAF" w:rsidRDefault="00572F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717" w:type="dxa"/>
            <w:vMerge/>
            <w:vAlign w:val="center"/>
            <w:hideMark/>
          </w:tcPr>
          <w:p w:rsidR="00572FAF" w:rsidRDefault="00572F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Merge/>
            <w:vAlign w:val="center"/>
            <w:hideMark/>
          </w:tcPr>
          <w:p w:rsidR="00572FAF" w:rsidRDefault="00572FA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72FAF" w:rsidRDefault="00572FAF"/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4125"/>
        <w:gridCol w:w="2166"/>
        <w:gridCol w:w="2053"/>
        <w:gridCol w:w="2090"/>
        <w:gridCol w:w="1717"/>
        <w:gridCol w:w="1892"/>
      </w:tblGrid>
      <w:tr w:rsidR="00572FAF" w:rsidTr="00572FAF">
        <w:trPr>
          <w:tblHeader/>
        </w:trPr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72FAF" w:rsidTr="00572FAF">
        <w:tc>
          <w:tcPr>
            <w:tcW w:w="924" w:type="dxa"/>
            <w:shd w:val="clear" w:color="000000" w:fill="FFFFFF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3" w:type="dxa"/>
            <w:gridSpan w:val="6"/>
            <w:shd w:val="clear" w:color="000000" w:fill="FFFFFF"/>
            <w:vAlign w:val="center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1. Развитие культурно-досуговой деятельности</w:t>
            </w:r>
          </w:p>
        </w:tc>
      </w:tr>
      <w:tr w:rsidR="00572FAF" w:rsidTr="00572FAF">
        <w:tc>
          <w:tcPr>
            <w:tcW w:w="924" w:type="dxa"/>
            <w:shd w:val="clear" w:color="000000" w:fill="FFFFFF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43" w:type="dxa"/>
            <w:gridSpan w:val="6"/>
            <w:shd w:val="clear" w:color="000000" w:fill="FFFFFF"/>
            <w:vAlign w:val="center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1. Повышение доступности и качества оказываемых услуг населению в сфере культуры</w:t>
            </w:r>
          </w:p>
        </w:tc>
      </w:tr>
      <w:tr w:rsidR="00572FAF" w:rsidTr="00572FAF">
        <w:tc>
          <w:tcPr>
            <w:tcW w:w="924" w:type="dxa"/>
            <w:shd w:val="clear" w:color="000000" w:fill="FFFFFF"/>
            <w:hideMark/>
          </w:tcPr>
          <w:p w:rsidR="00572FAF" w:rsidRDefault="00572F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43" w:type="dxa"/>
            <w:gridSpan w:val="6"/>
            <w:shd w:val="clear" w:color="000000" w:fill="FFFFFF"/>
            <w:vAlign w:val="center"/>
            <w:hideMark/>
          </w:tcPr>
          <w:p w:rsidR="00572FAF" w:rsidRDefault="00572F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1.1. Расширение участия населения в культурной жизни, обеспечение условий для творческой реализации граждан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 концертов и концертных программ, иных зрелищных мероприятий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16,81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показателя объясняется большим количеством приезжих отдыхающих.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показателя объясняется большим количеством приезжих отдыхающих.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нового кружка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молодых людей в возрасте от 14 до 30 лет, участвующих в мероприятиях по патриотическому воспитанию, в общей </w:t>
            </w:r>
            <w:r>
              <w:rPr>
                <w:sz w:val="20"/>
                <w:szCs w:val="20"/>
              </w:rPr>
              <w:lastRenderedPageBreak/>
              <w:t xml:space="preserve">численности молодых людей в возрасте от 14 от 30 лет 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2FAF" w:rsidTr="00572FAF">
        <w:tc>
          <w:tcPr>
            <w:tcW w:w="924" w:type="dxa"/>
            <w:shd w:val="clear" w:color="000000" w:fill="FFFFFF"/>
            <w:hideMark/>
          </w:tcPr>
          <w:p w:rsidR="00572FAF" w:rsidRDefault="00572F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043" w:type="dxa"/>
            <w:gridSpan w:val="6"/>
            <w:shd w:val="clear" w:color="000000" w:fill="FFFFFF"/>
            <w:vAlign w:val="center"/>
            <w:hideMark/>
          </w:tcPr>
          <w:p w:rsidR="00572FAF" w:rsidRDefault="00572F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1.2. Обеспечение условий для функционирования учреждения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обеспеченности условий для функционирования учреждения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средств муниципального учреждения культуры </w:t>
            </w:r>
            <w:proofErr w:type="spellStart"/>
            <w:r>
              <w:rPr>
                <w:sz w:val="20"/>
                <w:szCs w:val="20"/>
              </w:rPr>
              <w:t>Бисертского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от предпринимательской и иной приносящей доход деятельности в общем доходе таких учреждений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Невыполнение объема </w:t>
            </w:r>
            <w:proofErr w:type="spellStart"/>
            <w:r>
              <w:rPr>
                <w:sz w:val="20"/>
                <w:szCs w:val="20"/>
              </w:rPr>
              <w:t>объяснется</w:t>
            </w:r>
            <w:proofErr w:type="spellEnd"/>
            <w:r>
              <w:rPr>
                <w:sz w:val="20"/>
                <w:szCs w:val="20"/>
              </w:rPr>
              <w:t xml:space="preserve"> тем, что в связи проведением ремонтных работ оказание </w:t>
            </w:r>
            <w:proofErr w:type="spellStart"/>
            <w:r>
              <w:rPr>
                <w:sz w:val="20"/>
                <w:szCs w:val="20"/>
              </w:rPr>
              <w:t>некотрых</w:t>
            </w:r>
            <w:proofErr w:type="spellEnd"/>
            <w:r>
              <w:rPr>
                <w:sz w:val="20"/>
                <w:szCs w:val="20"/>
              </w:rPr>
              <w:t xml:space="preserve"> платных услуг временно недопустимо.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заработной платы работников учреждений культуры к средней заработной плате по экономике Свердловской области.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качеством предоставления муниципальных услуг в сфере культуры 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качественных ресурсов в информационно-телекоммуникационной сети "Интернет", позволяющих получать информацию об отечественной культуре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размещенной </w:t>
            </w:r>
            <w:proofErr w:type="spellStart"/>
            <w:r>
              <w:rPr>
                <w:sz w:val="20"/>
                <w:szCs w:val="20"/>
              </w:rPr>
              <w:t>информации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роцентов</w:t>
            </w:r>
            <w:proofErr w:type="spellEnd"/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лауреатов международных конкурсов и фестивалей в сфере культуры 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дипломов</w:t>
            </w:r>
            <w:proofErr w:type="gramStart"/>
            <w:r>
              <w:rPr>
                <w:sz w:val="20"/>
                <w:szCs w:val="20"/>
              </w:rPr>
              <w:t>,ш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культуры, находящихся в удовлетворительном состоянии, в общем количестве муниципальных учреждений культуры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2FAF" w:rsidTr="00572FAF">
        <w:tc>
          <w:tcPr>
            <w:tcW w:w="924" w:type="dxa"/>
            <w:shd w:val="clear" w:color="000000" w:fill="FFFFFF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43" w:type="dxa"/>
            <w:gridSpan w:val="6"/>
            <w:shd w:val="clear" w:color="000000" w:fill="FFFFFF"/>
            <w:vAlign w:val="center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2. Развитие музейной деятельности</w:t>
            </w:r>
          </w:p>
        </w:tc>
      </w:tr>
      <w:tr w:rsidR="00572FAF" w:rsidTr="00572FAF">
        <w:tc>
          <w:tcPr>
            <w:tcW w:w="924" w:type="dxa"/>
            <w:shd w:val="clear" w:color="000000" w:fill="FFFFFF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43" w:type="dxa"/>
            <w:gridSpan w:val="6"/>
            <w:shd w:val="clear" w:color="000000" w:fill="FFFFFF"/>
            <w:vAlign w:val="center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2. Сохранение, пополнение, изучение и популяризация историко-культурного наследия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Бисертского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городского округа, модернизация деятельности музея.</w:t>
            </w:r>
          </w:p>
        </w:tc>
      </w:tr>
      <w:tr w:rsidR="00572FAF" w:rsidTr="00572FAF">
        <w:tc>
          <w:tcPr>
            <w:tcW w:w="924" w:type="dxa"/>
            <w:shd w:val="clear" w:color="000000" w:fill="FFFFFF"/>
            <w:hideMark/>
          </w:tcPr>
          <w:p w:rsidR="00572FAF" w:rsidRDefault="00572F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43" w:type="dxa"/>
            <w:gridSpan w:val="6"/>
            <w:shd w:val="clear" w:color="000000" w:fill="FFFFFF"/>
            <w:vAlign w:val="center"/>
            <w:hideMark/>
          </w:tcPr>
          <w:p w:rsidR="00572FAF" w:rsidRDefault="00572F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2.1. Обеспечение условий для доступа граждан к культурным ценностям и информационным ресурсам музея.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Публичный показ музейных </w:t>
            </w:r>
            <w:proofErr w:type="spellStart"/>
            <w:r>
              <w:rPr>
                <w:sz w:val="20"/>
                <w:szCs w:val="20"/>
              </w:rPr>
              <w:t>предметов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узейных</w:t>
            </w:r>
            <w:proofErr w:type="spellEnd"/>
            <w:r>
              <w:rPr>
                <w:sz w:val="20"/>
                <w:szCs w:val="20"/>
              </w:rPr>
              <w:t xml:space="preserve"> коллекций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показателя объясняется </w:t>
            </w:r>
            <w:r>
              <w:rPr>
                <w:sz w:val="20"/>
                <w:szCs w:val="20"/>
              </w:rPr>
              <w:lastRenderedPageBreak/>
              <w:t>большим количеством приезжих отдыхающих гостей и связано с летними каникулами в учебных заведениях.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Формирование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чет</w:t>
            </w:r>
            <w:proofErr w:type="spellEnd"/>
            <w:r>
              <w:rPr>
                <w:sz w:val="20"/>
                <w:szCs w:val="20"/>
              </w:rPr>
              <w:t>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сохранения и использования объектов культурного наследия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экспозиций (выставок) </w:t>
            </w:r>
            <w:proofErr w:type="spellStart"/>
            <w:r>
              <w:rPr>
                <w:sz w:val="20"/>
                <w:szCs w:val="20"/>
              </w:rPr>
              <w:t>музеев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рганизация</w:t>
            </w:r>
            <w:proofErr w:type="spellEnd"/>
            <w:r>
              <w:rPr>
                <w:sz w:val="20"/>
                <w:szCs w:val="20"/>
              </w:rPr>
              <w:t xml:space="preserve"> выездных выставок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выставок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показателя объясняется тем, что большее количество выставок запланировано на 1 полугодие 2019 года.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музеев, имеющих веб-сайт в сети Интернет, в общем количестве муниципальных музеев муниципального образования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заработной платы работников учреждений культуры (музея) к средней заработной плате по экономике Свердловской области.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2FAF" w:rsidTr="00572FAF">
        <w:tc>
          <w:tcPr>
            <w:tcW w:w="924" w:type="dxa"/>
            <w:shd w:val="clear" w:color="000000" w:fill="FFFFFF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43" w:type="dxa"/>
            <w:gridSpan w:val="6"/>
            <w:shd w:val="clear" w:color="000000" w:fill="FFFFFF"/>
            <w:vAlign w:val="center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3. Развитие библиотечной деятельности</w:t>
            </w:r>
          </w:p>
        </w:tc>
      </w:tr>
      <w:tr w:rsidR="00572FAF" w:rsidTr="00572FAF">
        <w:tc>
          <w:tcPr>
            <w:tcW w:w="924" w:type="dxa"/>
            <w:shd w:val="clear" w:color="000000" w:fill="FFFFFF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43" w:type="dxa"/>
            <w:gridSpan w:val="6"/>
            <w:shd w:val="clear" w:color="000000" w:fill="FFFFFF"/>
            <w:vAlign w:val="center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3. Предоставление пользователям (читателям) широкой и полной информации, необходимой для решения различных жизненных проблем, т.е. способствовать социализации личности в современном информационном обществе.</w:t>
            </w:r>
          </w:p>
        </w:tc>
      </w:tr>
      <w:tr w:rsidR="00572FAF" w:rsidTr="00572FAF">
        <w:tc>
          <w:tcPr>
            <w:tcW w:w="924" w:type="dxa"/>
            <w:shd w:val="clear" w:color="000000" w:fill="FFFFFF"/>
            <w:hideMark/>
          </w:tcPr>
          <w:p w:rsidR="00572FAF" w:rsidRDefault="00572F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43" w:type="dxa"/>
            <w:gridSpan w:val="6"/>
            <w:shd w:val="clear" w:color="000000" w:fill="FFFFFF"/>
            <w:vAlign w:val="center"/>
            <w:hideMark/>
          </w:tcPr>
          <w:p w:rsidR="00572FAF" w:rsidRDefault="00572F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3.1. Снижение барьеров (физических, интеллектуальных, технических, организационных и межличностных) доступности получения пользователям (читателям) необходимой им информации и библиотечных услуг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Библиотечное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иблиографическое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lastRenderedPageBreak/>
              <w:t>информационное обслуживание пользователей библиотеки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тыс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8,83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lastRenderedPageBreak/>
              <w:t>показателя объясняется большим количеством приезжих отдыхающих.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Формирование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чет,изучение,обеспечение</w:t>
            </w:r>
            <w:proofErr w:type="spellEnd"/>
            <w:r>
              <w:rPr>
                <w:sz w:val="20"/>
                <w:szCs w:val="20"/>
              </w:rPr>
              <w:t xml:space="preserve"> физического сохранения и безопасности фондов библиотеки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21,729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21,989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фонда библиотеки за счет поступления большого количества новых книг.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показателя объясняется поступлением большого количества новых книг. 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заработной платы работников учреждений культуры (библиотеки) к средней заработной плате по экономике Свердловской области.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2FAF" w:rsidTr="00572FAF">
        <w:tc>
          <w:tcPr>
            <w:tcW w:w="924" w:type="dxa"/>
            <w:shd w:val="clear" w:color="000000" w:fill="FFFFFF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43" w:type="dxa"/>
            <w:gridSpan w:val="6"/>
            <w:shd w:val="clear" w:color="000000" w:fill="FFFFFF"/>
            <w:vAlign w:val="center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4. Расходы, не относящиеся к выполнению муниципального задания</w:t>
            </w:r>
          </w:p>
        </w:tc>
      </w:tr>
      <w:tr w:rsidR="00572FAF" w:rsidTr="00572FAF">
        <w:tc>
          <w:tcPr>
            <w:tcW w:w="924" w:type="dxa"/>
            <w:shd w:val="clear" w:color="000000" w:fill="FFFFFF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43" w:type="dxa"/>
            <w:gridSpan w:val="6"/>
            <w:shd w:val="clear" w:color="000000" w:fill="FFFFFF"/>
            <w:vAlign w:val="center"/>
            <w:hideMark/>
          </w:tcPr>
          <w:p w:rsidR="00572FAF" w:rsidRDefault="00572F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4. Повышение доступности и качества оказываемых услуг населению в сфере культуры</w:t>
            </w:r>
          </w:p>
        </w:tc>
      </w:tr>
      <w:tr w:rsidR="00572FAF" w:rsidTr="00572FAF">
        <w:tc>
          <w:tcPr>
            <w:tcW w:w="924" w:type="dxa"/>
            <w:shd w:val="clear" w:color="000000" w:fill="FFFFFF"/>
            <w:hideMark/>
          </w:tcPr>
          <w:p w:rsidR="00572FAF" w:rsidRDefault="00572F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43" w:type="dxa"/>
            <w:gridSpan w:val="6"/>
            <w:shd w:val="clear" w:color="000000" w:fill="FFFFFF"/>
            <w:vAlign w:val="center"/>
            <w:hideMark/>
          </w:tcPr>
          <w:p w:rsidR="00572FAF" w:rsidRDefault="00572F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4.1. Обеспечение условий для функционирования учреждения</w:t>
            </w:r>
          </w:p>
        </w:tc>
      </w:tr>
      <w:tr w:rsidR="00572FAF" w:rsidTr="00572FAF">
        <w:tc>
          <w:tcPr>
            <w:tcW w:w="924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25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обеспеченности условий для функционирования учреждения</w:t>
            </w:r>
          </w:p>
        </w:tc>
        <w:tc>
          <w:tcPr>
            <w:tcW w:w="2166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053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90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7" w:type="dxa"/>
            <w:shd w:val="clear" w:color="auto" w:fill="auto"/>
            <w:hideMark/>
          </w:tcPr>
          <w:p w:rsidR="00572FAF" w:rsidRDefault="0057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92" w:type="dxa"/>
            <w:shd w:val="clear" w:color="auto" w:fill="auto"/>
            <w:hideMark/>
          </w:tcPr>
          <w:p w:rsidR="00572FAF" w:rsidRDefault="0057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будет в III квартале 2019 года, т.к. работы запланированы, начиная с III квартала 2019 года.</w:t>
            </w:r>
          </w:p>
        </w:tc>
      </w:tr>
    </w:tbl>
    <w:p w:rsidR="00572FAF" w:rsidRDefault="00572FAF" w:rsidP="00572FAF">
      <w:pPr>
        <w:spacing w:after="0" w:line="240" w:lineRule="auto"/>
      </w:pPr>
    </w:p>
    <w:tbl>
      <w:tblPr>
        <w:tblW w:w="14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000"/>
        <w:gridCol w:w="1440"/>
        <w:gridCol w:w="2180"/>
        <w:gridCol w:w="2220"/>
        <w:gridCol w:w="1720"/>
        <w:gridCol w:w="1880"/>
      </w:tblGrid>
      <w:tr w:rsidR="00572FAF" w:rsidTr="00572FAF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FAF" w:rsidTr="00572FA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FAF" w:rsidTr="00572FA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sz w:val="22"/>
              </w:rPr>
            </w:pPr>
            <w:r>
              <w:rPr>
                <w:sz w:val="22"/>
              </w:rPr>
              <w:t>_______________ /___________________________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FAF" w:rsidTr="00572FA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(подпись)                             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FAF" w:rsidRDefault="00572F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2FAF" w:rsidRDefault="00572FAF" w:rsidP="00572FAF">
      <w:pPr>
        <w:spacing w:after="0" w:line="240" w:lineRule="auto"/>
      </w:pPr>
    </w:p>
    <w:sectPr w:rsidR="00572FAF" w:rsidSect="00572FAF">
      <w:pgSz w:w="16838" w:h="11906" w:orient="landscape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AF"/>
    <w:rsid w:val="00572FAF"/>
    <w:rsid w:val="00A7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contextualSpacing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contextualSpacing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2019-07-15T03:53:00Z</dcterms:created>
  <dcterms:modified xsi:type="dcterms:W3CDTF">2019-07-15T04:01:00Z</dcterms:modified>
</cp:coreProperties>
</file>